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2</w:t>
      </w:r>
    </w:p>
    <w:p>
      <w:pPr>
        <w:pStyle w:val="Heading2"/>
        <w:spacing w:after="120" w:before="0"/>
      </w:pPr>
      <w:r>
        <w:t xml:space="preserve">Practice Appraisal Protocol for Paediatric Sedation</w:t>
      </w:r>
    </w:p>
    <w:p>
      <w:pPr>
        <w:pStyle w:val="Heading3"/>
      </w:pPr>
      <w:r>
        <w:t xml:space="preserve">A. General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1. Does the practice provide basic intravenous sedation, e.g. midazolam only?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2. Does the practice provide advanced intravenous sedation techniques (combination of drugs)?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3. Does the practice provide inhalation sedation (IS)?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4. Do children aged 12 years and younger receive IV sedation? If yes, which drugs?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5. Are sedation patients only ASA I or II? Do you do any fragile ASA II or ASA III patients?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6. Does the practice only use operator-sedation practitioners? Which drugs?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7. Does the practice normally operate with a dedicated sedation practitioner?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8. Is the practice in good standing with the HPCSA?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</w:pPr>
      <w:r>
        <w:t xml:space="preserve">B. Facilities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1. Do the premises appear to be well maintained?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2. Are the recovery and waiting areas separate?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3. Is there good lighting and ventilation in all clinical areas?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4. Is there access for emergency services to the building?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5. Is there access for emergency services to the surgery? Is a wheelchair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6. Is there space within the surgery to deal with an emergency?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7. Is there space for the SP to work effectively and do resuscitation if necessary?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8. Does the practice layout provide privacy for sedation of patients?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9. Can the dental/equivalent chair be placed in the head-down tilt position?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10. Are there facilities for a parent/caregiver to accompany their child?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</w:pPr>
      <w:r>
        <w:t xml:space="preserve">C. Sedation Practice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1. Does the practice follow a recognised sedation protocol?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2. Are patients assessed for suitability for sedation at a preceding appointment or on day of surgery?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3. Are options for anxiety and pain control explained prior to obtaining consent?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4. Do parents/caregivers have the opportunity to ask questions?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5. Are BP and pulse oximetry assessed and documented? Is capnography used?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6. Is the patient monitored by trained staff during sedation and recovery?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7. Does the practice prohibit parents/caregivers from remaining during the procedure?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8. Are recognised discharge criteria followed?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9. Where are patients normally recovered?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10. Does the SP or trained staff discharge the patient?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11. Are patients given a telephone number for problems or complications?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12. Does the practice ensure all children have a responsible adult for aftercare?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13. Is there an agreed protocol with the local hospital and paramedics?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</w:pPr>
      <w:r>
        <w:t xml:space="preserve">D. Documentation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1. Are parents/caregivers given written preoperative instructions?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2. Are parents/caregivers given written postoperative instructions?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3. Are histories, ASA category, fasting, vital signs, allergies noted and checked prior to sedation?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4. Is written informed, valid consent obtained prior to sedation?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5. Is a contemporaneous sedation flow chart kept?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6. Do SPs keep a logbook or records of sedation cases?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</w:pPr>
      <w:r>
        <w:t xml:space="preserve">E. Equipment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1. Is there equipment for measurement of BP and oxygen saturation values?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2. Is there a dedicated IS machine with min 30% O2 delivery and emergency N2O cut-off?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3. Is the IS machine checked by trained staff prior to each session?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4. Is there scavenging of waste gases?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5. Is the equipment serviced according to manufacturers’ guidelines?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6. Are gases stored according to current safety requirements?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7. Date of last service?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8. Is a pulse oximeter, ECG monitor and capnograph available? All in use?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9. Does the pulse oximeter have audible alarms?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10. Is monitoring equipment serviced per manufacturers’ guidelines?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11. Date of last service?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12. Is emergency oxygen available? Size of cylinder? Back-up supply?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13. Is there a self-inflating bag valve mask with reservoir bag for children?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14. Is there a pocket face mask for ventilation assistance?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15. Is there a set of nasal cannulae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16. Is suction available and in working order?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17. Is back-up suction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18. Is a laryngeal mask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19. Are Yankauer suckers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20. Is a defibrillator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21. Is an AED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22. Date of last service?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23. Is the emergency equipment readily available? (SOSPOSA guidelines)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</w:pPr>
      <w:r>
        <w:t xml:space="preserve">F. Drugs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1. Are emergency drugs immediately available? Which ones?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2. Are all drugs, sedation and emergency, in date?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3. Is there a designated person responsible for stock control?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4. Are all emergency drugs readily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</w:pPr>
      <w:r>
        <w:t xml:space="preserve">G. Staff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1. Names and qualifications of all staff involved in sedation. Do they all have airway certification?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2. Can all staff demonstrate in-house training in sedation and commitment to CPD?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3. Can all nurses assisting demonstrate in-house training in sedation?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4. Can all recovery staff demonstrate training appropriate to their duties?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5. Is all staff trained in at least BLS (airway certification)?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6. How often is emergency training provided?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7. When was the last emergency training session?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8. Is the facility suitable to provide moderate sedation and analgesia?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0"/>
      </w:pPr>
      <w:r>
        <w:t xml:space="preserve">Comments: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Assessed by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Position / Qualifications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Signature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SOSPOSA Paediatric Sedation Guidelines 2021–2026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2 — Practice Appraisal Protocol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2026-03-18T11:03:35.519Z</dcterms:created>
  <dcterms:modified xsi:type="dcterms:W3CDTF">2026-03-18T11:03:35.519Z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