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2A5C" w:val="clear"/>
        <w:spacing w:before="0" w:after="200"/>
        <w:ind w:left="160" w:right="160"/>
      </w:pPr>
      <w:r>
        <w:rPr>
          <w:rFonts w:ascii="Calibri" w:cs="Calibri" w:eastAsia="Calibri" w:hAnsi="Calibri"/>
          <w:color w:val="8899CC"/>
          <w:sz w:val="18"/>
          <w:szCs w:val="18"/>
        </w:rPr>
        <w:t xml:space="preserve">SOSPOSA  |  Adult PSA Form 02  |  </w:t>
      </w:r>
      <w:r>
        <w:rPr>
          <w:rFonts w:ascii="Calibri" w:cs="Calibri" w:eastAsia="Calibri" w:hAnsi="Calibri"/>
          <w:b/>
          <w:bCs/>
          <w:color w:val="FFFFFF"/>
          <w:sz w:val="22"/>
          <w:szCs w:val="22"/>
        </w:rPr>
        <w:t xml:space="preserve">Basic Equipment and Drugs for Procedural Sedation and Analgesia in Adults</w:t>
      </w:r>
    </w:p>
    <w:p>
      <w:pPr>
        <w:spacing w:before="60"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All equipment should be checked regularly.</w:t>
      </w:r>
    </w:p>
    <w:p>
      <w:pPr>
        <w:spacing w:before="80" w:after="80"/>
      </w:pPr>
      <w:r>
        <w:t xml:space="preserve"/>
      </w:r>
    </w:p>
    <w:p>
      <w:pPr>
        <w:pBdr>
          <w:bottom w:val="single" w:color="CCCCCC" w:sz="4"/>
        </w:pBdr>
        <w:spacing w:before="280" w:after="80"/>
      </w:pPr>
      <w:r>
        <w:rPr>
          <w:rFonts w:ascii="Calibri" w:cs="Calibri" w:eastAsia="Calibri" w:hAnsi="Calibri"/>
          <w:b/>
          <w:bCs/>
          <w:color w:val="1B2A5C"/>
          <w:sz w:val="22"/>
          <w:szCs w:val="22"/>
        </w:rPr>
        <w:t xml:space="preserve">Devices to Administer Oxygen and Assist with Ventilation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Specification / Notes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Oxygen and oxygen tubing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Oxygen source must be reliable and able to provide at least 90% oxygen via a self-inflating positive pressure delivery system at 15 L/min for at least 60 minutes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Oxygen flow regulator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Nasal prongs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Venturi masks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To deliver 40% oxygen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Nebuliser and mask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Self-inflating resuscitation bag with reservoir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PEEP valve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Catheter mount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CCCCCC" w:sz="4"/>
        </w:pBdr>
        <w:spacing w:before="280" w:after="80"/>
      </w:pPr>
      <w:r>
        <w:rPr>
          <w:rFonts w:ascii="Calibri" w:cs="Calibri" w:eastAsia="Calibri" w:hAnsi="Calibri"/>
          <w:b/>
          <w:bCs/>
          <w:color w:val="1B2A5C"/>
          <w:sz w:val="22"/>
          <w:szCs w:val="22"/>
        </w:rPr>
        <w:t xml:space="preserve">Airway Devices and Equipment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Specification / Notes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Face masks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Selection of sizes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Laryngeal mask airways or similar supraglottic devices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Sizes 3–5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Range of cuffed endotracheal tubes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Sizes 5–8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Laryngoscope set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Two handles with long and standard blades, and spare batteries and bulbs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Water-soluble lubricant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10 ml syringe for inflation of pilot balloon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Tape or equivalent to secure endotracheal tube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Oropharyngeal airways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Sizes 3–5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Nasopharyngeal airways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Sizes 6 mm and 7 mm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Stylets/introducers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Appropriately sized for endotracheal tubes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Magill forceps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CCCCCC" w:sz="4"/>
        </w:pBdr>
        <w:spacing w:before="280" w:after="80"/>
      </w:pPr>
      <w:r>
        <w:rPr>
          <w:rFonts w:ascii="Calibri" w:cs="Calibri" w:eastAsia="Calibri" w:hAnsi="Calibri"/>
          <w:b/>
          <w:bCs/>
          <w:color w:val="1B2A5C"/>
          <w:sz w:val="22"/>
          <w:szCs w:val="22"/>
        </w:rPr>
        <w:t xml:space="preserve">Monitoring Equipment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Specification / Notes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ECG monitor and cardiac defibrillator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With conductive paste, chest paddles and razor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Pulse oximeter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Blood pressure monitoring device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Non-invasive, with appropriately sized cuffs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Stethoscope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Thermometer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Blood glucose testing device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Selection of test tubes for blood biochemistry and full blood count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Capnograph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Nasal prongs with capnography line strongly recommended, but not compulsory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CCCCCC" w:sz="4"/>
        </w:pBdr>
        <w:spacing w:before="280" w:after="80"/>
      </w:pPr>
      <w:r>
        <w:rPr>
          <w:rFonts w:ascii="Calibri" w:cs="Calibri" w:eastAsia="Calibri" w:hAnsi="Calibri"/>
          <w:b/>
          <w:bCs/>
          <w:color w:val="1B2A5C"/>
          <w:sz w:val="22"/>
          <w:szCs w:val="22"/>
        </w:rPr>
        <w:t xml:space="preserve">Equipment to Gain Intravenous Access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Specification / Notes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Gloves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Tourniquet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Sterile gauze pads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Alcohol skin wipes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Intravenous cannulae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18–22 gauge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Sterile needles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Assortment of syringes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1 ml – 50 ml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Sharps container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Tape or equivalent to secure intravenous cannulae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CCCCCC" w:sz="4"/>
        </w:pBdr>
        <w:spacing w:before="280" w:after="80"/>
      </w:pPr>
      <w:r>
        <w:rPr>
          <w:rFonts w:ascii="Calibri" w:cs="Calibri" w:eastAsia="Calibri" w:hAnsi="Calibri"/>
          <w:b/>
          <w:bCs/>
          <w:color w:val="1B2A5C"/>
          <w:sz w:val="22"/>
          <w:szCs w:val="22"/>
        </w:rPr>
        <w:t xml:space="preserve">Equipment for the Accurate Infusion of Drugs and Fluids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Specification / Notes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Infusion pumps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Intravenous fluid administration for simple sedation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Syringe drivers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Drug administration in advanced sedation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Intravenous administration sets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Must be compatible with infusion pumps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Stickers for labelling syringes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Drip stands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Intravenous fluids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Crystalloids and colloids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CCCCCC" w:sz="4"/>
        </w:pBdr>
        <w:spacing w:before="280" w:after="80"/>
      </w:pPr>
      <w:r>
        <w:rPr>
          <w:rFonts w:ascii="Calibri" w:cs="Calibri" w:eastAsia="Calibri" w:hAnsi="Calibri"/>
          <w:b/>
          <w:bCs/>
          <w:color w:val="1B2A5C"/>
          <w:sz w:val="22"/>
          <w:szCs w:val="22"/>
        </w:rPr>
        <w:t xml:space="preserve">Hardware and Miscellaneous Equipment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blHeader/>
        </w:trP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Specification / Notes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Source of suction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Including connection tubing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Suction catheters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Including catheters for suctioning endotracheal tubes, and Yankauer-type suction nozzles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Therapeutic heat source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Cardiac arrest board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Appropriate lighting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Operating surface that can be tilted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Urinary catheters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Nasogastric tubes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Means of summoning emergency assistance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South African Resuscitation Council algorithms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Basic and advanced life support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Procedural documentation</w:t>
            </w:r>
          </w:p>
        </w:tc>
        <w:tc>
          <w:tcPr>
            <w:tcW w:type="dxa" w:w="5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CCCCCC" w:sz="4"/>
        </w:pBdr>
        <w:spacing w:before="280" w:after="80"/>
      </w:pPr>
      <w:r>
        <w:rPr>
          <w:rFonts w:ascii="Calibri" w:cs="Calibri" w:eastAsia="Calibri" w:hAnsi="Calibri"/>
          <w:b/>
          <w:bCs/>
          <w:color w:val="1B2A5C"/>
          <w:sz w:val="22"/>
          <w:szCs w:val="22"/>
        </w:rPr>
        <w:t xml:space="preserve">Recommended Emergency Drugs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Naloxone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Flumazenil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Adrenaline (at least 10 ampoules)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Atropine or glycopyrrolate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Ephedrine or phenylephrine (or other alpha-agonist)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Lignocaine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Glucose 50%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Hydrocortisone, methylprednisolone or dexamethasone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Promethazine (or other H1-antagonist)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Nitroglycerine spray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Aspirin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Salbutamol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Suxamethonium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Intralipid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Calcium-channel blocker e.g., nifedipine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Beta blocker e.g., esmolol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Selective alpha 1 adrenergic and non-selective beta-adrenergic receptor blocker e.g., labetalol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Reversal agents i.e. flumazenil, naloxone</w:t>
      </w:r>
    </w:p>
    <w:p>
      <w:pPr>
        <w:spacing w:before="80" w:after="80"/>
      </w:pPr>
      <w:r>
        <w:t xml:space="preserve"/>
      </w:r>
    </w:p>
    <w:p>
      <w:pPr>
        <w:spacing w:before="60"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Note: Specific antagonists must be immediately available where a sedation practitioner administers opioid analgesics and/or benzodiazepines for PSA, regardless of the route of administration. After reversal, patients must be monitored for a longer period in the recovery room to prevent re-sedation.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2026-03-20T09:35:12.109Z</dcterms:created>
  <dcterms:modified xsi:type="dcterms:W3CDTF">2026-03-20T09:35:12.110Z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