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2A5C" w:val="clear"/>
        <w:spacing w:before="0" w:after="200"/>
        <w:ind w:left="160" w:right="160"/>
      </w:pPr>
      <w:r>
        <w:rPr>
          <w:rFonts w:ascii="Calibri" w:cs="Calibri" w:eastAsia="Calibri" w:hAnsi="Calibri"/>
          <w:color w:val="8899CC"/>
          <w:sz w:val="18"/>
          <w:szCs w:val="18"/>
        </w:rPr>
        <w:t xml:space="preserve">SOSPOSA  |  Adult PSA Form 04  |  </w:t>
      </w:r>
      <w:r>
        <w:rPr>
          <w:rFonts w:ascii="Calibri" w:cs="Calibri" w:eastAsia="Calibri" w:hAnsi="Calibri"/>
          <w:b/>
          <w:bCs/>
          <w:color w:val="FFFFFF"/>
          <w:sz w:val="22"/>
          <w:szCs w:val="22"/>
        </w:rPr>
        <w:t xml:space="preserve">Evaluation of the Airway for Sedation</w:t>
      </w:r>
    </w:p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LEMON Law Airway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500"/>
        <w:gridCol w:w="5960"/>
      </w:tblGrid>
      <w:tr>
        <w:trPr>
          <w:tblHeader/>
        </w:trP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Letter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Assessment Detail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L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Look externally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Look externally for any malformations of the face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E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Evaluation 3-3-2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3 fingers between upper and lower jaw to assess mouth opening; 3 fingers between the hyoid and chin; 2 fingers can fit in between hyoid and thyroid cartilage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M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Mallampati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Look for position of uvula. If difficult to see, airway compromised.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O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Obstruction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Look for signs of obstruction, e.g., wheezing, stridor</w:t>
            </w:r>
          </w:p>
        </w:tc>
      </w:tr>
      <w:tr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N</w:t>
            </w:r>
          </w:p>
        </w:tc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Neck mobility</w:t>
            </w:r>
          </w:p>
        </w:tc>
        <w:tc>
          <w:tcPr>
            <w:tcW w:type="dxa" w:w="5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Evaluate flexion and extension of neck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Upper Lip Bite Test (ULBT)</w:t>
      </w:r>
    </w:p>
    <w:p>
      <w:pPr>
        <w:spacing w:before="60" w:after="60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The ULBT is performed by asking the patient to bite the upper lip. Studies show that the ULBT has a significantly higher specificity and accuracy than the modified Mallampati test.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rPr>
          <w:tblHeader/>
        </w:trP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Class</w:t>
            </w:r>
          </w:p>
        </w:tc>
        <w:tc>
          <w:tcPr>
            <w:tcW w:type="dxa" w:w="7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2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Class I</w:t>
            </w:r>
          </w:p>
        </w:tc>
        <w:tc>
          <w:tcPr>
            <w:tcW w:type="dxa" w:w="7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Lower teeth bite the upper lip above the upper vermilion border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Class II</w:t>
            </w:r>
          </w:p>
        </w:tc>
        <w:tc>
          <w:tcPr>
            <w:tcW w:type="dxa" w:w="7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Lower teeth bite the upper lip below the upper vermilion border</w:t>
            </w:r>
          </w:p>
        </w:tc>
      </w:tr>
      <w:tr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Class III</w:t>
            </w:r>
          </w:p>
        </w:tc>
        <w:tc>
          <w:tcPr>
            <w:tcW w:type="dxa" w:w="7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222222"/>
                <w:sz w:val="20"/>
                <w:szCs w:val="20"/>
              </w:rPr>
              <w:t xml:space="preserve">Lower teeth cannot bite the upper lip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CCCCCC" w:sz="4"/>
        </w:pBdr>
        <w:spacing w:before="280" w:after="80"/>
      </w:pPr>
      <w:r>
        <w:rPr>
          <w:rFonts w:ascii="Calibri" w:cs="Calibri" w:eastAsia="Calibri" w:hAnsi="Calibri"/>
          <w:b/>
          <w:bCs/>
          <w:color w:val="1B2A5C"/>
          <w:sz w:val="22"/>
          <w:szCs w:val="22"/>
        </w:rPr>
        <w:t xml:space="preserve">Clinical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180"/>
        <w:gridCol w:w="1500"/>
        <w:gridCol w:w="3180"/>
      </w:tblGrid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Patient name</w:t>
            </w:r>
          </w:p>
        </w:tc>
        <w:tc>
          <w:tcPr>
            <w:tcW w:type="dxa" w:w="21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31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LEMON findings</w:t>
            </w:r>
          </w:p>
        </w:tc>
        <w:tc>
          <w:tcPr>
            <w:tcW w:type="dxa" w:w="686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ULBT class</w:t>
            </w:r>
          </w:p>
        </w:tc>
        <w:tc>
          <w:tcPr>
            <w:tcW w:type="dxa" w:w="686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888888"/>
                <w:sz w:val="20"/>
                <w:szCs w:val="20"/>
              </w:rPr>
              <w:t xml:space="preserve">Class I  /  Class II  /  Class III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Airway suitability</w:t>
            </w:r>
          </w:p>
        </w:tc>
        <w:tc>
          <w:tcPr>
            <w:tcW w:type="dxa" w:w="686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888888"/>
                <w:sz w:val="20"/>
                <w:szCs w:val="20"/>
              </w:rPr>
              <w:t xml:space="preserve">Suitable for out-of-hospital sedation  /  Refer for in-hospital procedure</w:t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Sedation practitioner</w:t>
            </w:r>
          </w:p>
        </w:tc>
        <w:tc>
          <w:tcPr>
            <w:tcW w:type="dxa" w:w="686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6860"/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2026-03-20T09:35:12.118Z</dcterms:created>
  <dcterms:modified xsi:type="dcterms:W3CDTF">2026-03-20T09:35:12.118Z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